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中共通榆县委通榆县人民政府信访局</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（一）代表县委、县政府处理信访事项；</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（二）督促、检查、指导给乡镇（场）和各部门的信访工作，对不负责任造成严重后果的单位和个人，提出处理建议；</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（三）承办上级机关和县领导交办的信访案件的调查处理和查解后的上报工作；</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（四）负责向乡镇（场）和各部门交办、转办、催办信访案件工作，并把好承办单位上报结案材料的审理关；</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（五）调查研究，综合分析全县信访情况，及时向上级主管部门和县领导提供信访信息；</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（六）负责拟定提交县信访工作领导小组讨论的信访问题和议题和形成的决定意见的纪要或材料，并督促相关部门具体落实工作；</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（七）负责向上级机关报告重大、紧急信访事项；</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（八）负责向信访人员宣传政策、法规，为信访人提供必要的法律、法规政策咨询；</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（九）负责信访工作经验的总结、推广和信访干部业务培训工作；</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（十）完成县领导交办的其它工作。</w:t>
      </w:r>
    </w:p>
    <w:p>
      <w:pPr>
        <w:ind w:firstLine="640" w:firstLineChars="200"/>
        <w:rPr>
          <w:rFonts w:eastAsia="楷体_GB2312"/>
        </w:rPr>
      </w:pP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w:t>
      </w:r>
      <w:r>
        <w:rPr>
          <w:rFonts w:hint="eastAsia" w:eastAsia="仿宋_GB2312"/>
          <w:lang w:val="en-US" w:eastAsia="zh-CN"/>
        </w:rPr>
        <w:t>中共通榆县委通榆县人民政府信访局</w:t>
      </w:r>
      <w:r>
        <w:rPr>
          <w:rFonts w:eastAsia="仿宋_GB2312"/>
        </w:rPr>
        <w:t>内设</w:t>
      </w:r>
      <w:r>
        <w:rPr>
          <w:rFonts w:hint="eastAsia" w:eastAsia="仿宋_GB2312"/>
          <w:u w:val="none"/>
          <w:lang w:val="en-US" w:eastAsia="zh-CN"/>
        </w:rPr>
        <w:t>1</w:t>
      </w:r>
      <w:r>
        <w:rPr>
          <w:rFonts w:eastAsia="仿宋_GB2312"/>
        </w:rPr>
        <w:t>个机构。下设</w:t>
      </w:r>
      <w:r>
        <w:rPr>
          <w:rFonts w:hint="eastAsia" w:eastAsia="仿宋_GB2312"/>
          <w:u w:val="none"/>
          <w:lang w:val="en-US" w:eastAsia="zh-CN"/>
        </w:rPr>
        <w:t>1</w:t>
      </w:r>
      <w:r>
        <w:rPr>
          <w:rFonts w:eastAsia="仿宋_GB2312"/>
        </w:rPr>
        <w:t>家预算单位，</w:t>
      </w:r>
      <w:r>
        <w:rPr>
          <w:rFonts w:hint="eastAsia" w:eastAsia="仿宋_GB2312"/>
          <w:lang w:val="en-US" w:eastAsia="zh-CN"/>
        </w:rPr>
        <w:t>通榆县信访信息中心</w:t>
      </w:r>
      <w:r>
        <w:rPr>
          <w:rFonts w:eastAsia="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209.59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178.35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178.35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209.59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209.59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209.59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val="0"/>
                <w:bCs w:val="0"/>
                <w:kern w:val="0"/>
                <w:sz w:val="20"/>
                <w:lang w:val="en-US" w:eastAsia="zh-CN"/>
              </w:rPr>
              <w:t>209.59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209.59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209.59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中共通榆县委通榆县人民政府信访局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209.59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209.59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209.59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209.59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209.59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209.59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一、一般公共服务支出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178.35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178.35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15.91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15.91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四、住房改革支出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209.59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136.14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74"/>
              <w:gridCol w:w="777"/>
              <w:gridCol w:w="688"/>
              <w:gridCol w:w="1721"/>
              <w:gridCol w:w="864"/>
              <w:gridCol w:w="825"/>
              <w:gridCol w:w="663"/>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7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7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7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209.59</w:t>
                  </w: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209.59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178.35</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178.35</w:t>
                  </w: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209.59</w:t>
                  </w: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209.59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15.91</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15.91</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5.7</w:t>
                  </w: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9.63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9.63</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209.59</w:t>
                  </w: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209.59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209.59</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209.59</w:t>
                  </w: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209.59</w:t>
                  </w:r>
                  <w:r>
                    <w:rPr>
                      <w:rFonts w:eastAsia="黑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黑体"/>
                      <w:kern w:val="0"/>
                      <w:sz w:val="20"/>
                      <w:lang w:val="en-US" w:eastAsia="zh-CN"/>
                    </w:rPr>
                    <w:t>209.59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209.59</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209.59</w:t>
                  </w: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178.35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ascii="宋体" w:hAnsi="宋体" w:eastAsia="宋体" w:cs="宋体"/>
                      <w:color w:val="000000" w:themeColor="text1"/>
                      <w:kern w:val="0"/>
                      <w:sz w:val="20"/>
                      <w:szCs w:val="20"/>
                      <w14:textFill>
                        <w14:solidFill>
                          <w14:schemeClr w14:val="tx1"/>
                        </w14:solidFill>
                      </w14:textFill>
                    </w:rPr>
                    <w:t>73.45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178.35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16.02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ascii="宋体" w:hAnsi="宋体" w:eastAsia="宋体" w:cs="宋体"/>
                      <w:color w:val="000000" w:themeColor="text1"/>
                      <w:kern w:val="0"/>
                      <w:sz w:val="20"/>
                      <w:szCs w:val="20"/>
                      <w14:textFill>
                        <w14:solidFill>
                          <w14:schemeClr w14:val="tx1"/>
                        </w14:solidFill>
                      </w14:textFill>
                    </w:rPr>
                    <w:t>73.45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四、住房改革支出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73.45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1"/>
        <w:gridCol w:w="2217"/>
        <w:gridCol w:w="1701"/>
        <w:gridCol w:w="1831"/>
      </w:tblGrid>
      <w:tr>
        <w:tblPrEx>
          <w:tblCellMar>
            <w:top w:w="0" w:type="dxa"/>
            <w:left w:w="108" w:type="dxa"/>
            <w:bottom w:w="0" w:type="dxa"/>
            <w:right w:w="108" w:type="dxa"/>
          </w:tblCellMar>
        </w:tblPrEx>
        <w:trPr>
          <w:trHeight w:val="1171" w:hRule="atLeast"/>
          <w:jc w:val="center"/>
        </w:trPr>
        <w:tc>
          <w:tcPr>
            <w:tcW w:w="8920"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36" w:hRule="atLeast"/>
          <w:jc w:val="center"/>
        </w:trPr>
        <w:tc>
          <w:tcPr>
            <w:tcW w:w="3171"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17"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2"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719" w:hRule="atLeast"/>
          <w:jc w:val="center"/>
        </w:trPr>
        <w:tc>
          <w:tcPr>
            <w:tcW w:w="3171"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17"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1"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49"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118.51</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118.51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38.16</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38.16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30.80</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30.80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17.20</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17.20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81"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12.85</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12.85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3.07</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3.07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5.62</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5.62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0.08</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9.63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9.63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1.11</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1.11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r>
              <w:rPr>
                <w:rFonts w:hint="eastAsia"/>
                <w:sz w:val="20"/>
                <w:szCs w:val="20"/>
                <w:lang w:val="en-US" w:eastAsia="zh-CN"/>
              </w:rPr>
              <w:t>16.02</w:t>
            </w: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办公费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8</w:t>
            </w: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手续费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0.05</w:t>
            </w: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0.75</w:t>
            </w: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ascii="Times New Roman" w:hAnsi="Times New Roman" w:eastAsia="宋体" w:cs="Times New Roman"/>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2</w:t>
            </w: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ascii="Times New Roman" w:hAnsi="Times New Roman" w:eastAsia="宋体" w:cs="Times New Roman"/>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5.22</w:t>
            </w:r>
          </w:p>
        </w:tc>
      </w:tr>
      <w:tr>
        <w:tblPrEx>
          <w:tblCellMar>
            <w:top w:w="0" w:type="dxa"/>
            <w:left w:w="108" w:type="dxa"/>
            <w:bottom w:w="0" w:type="dxa"/>
            <w:right w:w="108" w:type="dxa"/>
          </w:tblCellMar>
        </w:tblPrEx>
        <w:trPr>
          <w:trHeight w:val="537"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1.61</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1.61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555" w:hRule="atLeast"/>
          <w:jc w:val="center"/>
        </w:trPr>
        <w:tc>
          <w:tcPr>
            <w:tcW w:w="31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1.61</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1.61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exact"/>
          <w:jc w:val="center"/>
        </w:trPr>
        <w:tc>
          <w:tcPr>
            <w:tcW w:w="759"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sz w:val="20"/>
                <w:szCs w:val="20"/>
              </w:rPr>
            </w:pPr>
            <w:r>
              <w:rPr>
                <w:rFonts w:hint="eastAsia"/>
                <w:sz w:val="20"/>
                <w:szCs w:val="20"/>
              </w:rPr>
              <w:t>专项业务支出</w:t>
            </w:r>
          </w:p>
          <w:p>
            <w:pPr>
              <w:spacing w:line="700" w:lineRule="exact"/>
              <w:jc w:val="both"/>
              <w:rPr>
                <w:rFonts w:hint="eastAsia" w:ascii="Calibri" w:hAnsi="Calibri" w:eastAsia="楷体"/>
                <w:kern w:val="0"/>
                <w:sz w:val="20"/>
                <w:szCs w:val="20"/>
                <w:lang w:eastAsia="zh-CN"/>
              </w:rPr>
            </w:pPr>
          </w:p>
        </w:tc>
        <w:tc>
          <w:tcPr>
            <w:tcW w:w="1063" w:type="dxa"/>
            <w:noWrap w:val="0"/>
            <w:vAlign w:val="top"/>
          </w:tcPr>
          <w:p>
            <w:pPr>
              <w:rPr>
                <w:sz w:val="20"/>
                <w:szCs w:val="20"/>
              </w:rPr>
            </w:pPr>
            <w:r>
              <w:rPr>
                <w:rFonts w:hint="eastAsia"/>
                <w:sz w:val="20"/>
                <w:szCs w:val="20"/>
              </w:rPr>
              <w:t>信访局2024年信访工作经费</w:t>
            </w:r>
          </w:p>
          <w:p>
            <w:pPr>
              <w:spacing w:line="700" w:lineRule="exact"/>
              <w:jc w:val="both"/>
              <w:rPr>
                <w:rFonts w:ascii="Calibri" w:hAnsi="Calibri" w:eastAsia="楷体"/>
                <w:kern w:val="0"/>
                <w:sz w:val="20"/>
                <w:szCs w:val="20"/>
              </w:rPr>
            </w:pPr>
          </w:p>
        </w:tc>
        <w:tc>
          <w:tcPr>
            <w:tcW w:w="1107" w:type="dxa"/>
            <w:noWrap w:val="0"/>
            <w:vAlign w:val="top"/>
          </w:tcPr>
          <w:p>
            <w:pPr>
              <w:rPr>
                <w:sz w:val="20"/>
                <w:szCs w:val="20"/>
              </w:rPr>
            </w:pPr>
            <w:r>
              <w:rPr>
                <w:rFonts w:hint="eastAsia"/>
                <w:sz w:val="20"/>
                <w:szCs w:val="20"/>
              </w:rPr>
              <w:t>信访局2024年信访工作经费</w:t>
            </w:r>
          </w:p>
          <w:p>
            <w:pPr>
              <w:spacing w:line="700" w:lineRule="exact"/>
              <w:jc w:val="both"/>
              <w:rPr>
                <w:rFonts w:ascii="Calibri" w:hAnsi="Calibri" w:eastAsia="楷体" w:cs="Times New Roman"/>
                <w:kern w:val="0"/>
                <w:sz w:val="20"/>
                <w:szCs w:val="20"/>
                <w:lang w:val="en-US" w:eastAsia="zh-CN" w:bidi="ar-SA"/>
              </w:rPr>
            </w:pPr>
          </w:p>
        </w:tc>
        <w:tc>
          <w:tcPr>
            <w:tcW w:w="864" w:type="dxa"/>
            <w:noWrap w:val="0"/>
            <w:vAlign w:val="center"/>
          </w:tcPr>
          <w:p>
            <w:pPr>
              <w:rPr>
                <w:sz w:val="20"/>
                <w:szCs w:val="20"/>
              </w:rPr>
            </w:pPr>
            <w:r>
              <w:rPr>
                <w:rFonts w:hint="eastAsia"/>
                <w:sz w:val="20"/>
                <w:szCs w:val="20"/>
              </w:rPr>
              <w:t>中共通榆县委通榆县人民政府信访局</w:t>
            </w:r>
          </w:p>
          <w:p>
            <w:pPr>
              <w:spacing w:line="700" w:lineRule="exact"/>
              <w:jc w:val="center"/>
              <w:rPr>
                <w:rFonts w:ascii="Calibri" w:hAnsi="Calibri" w:eastAsia="楷体"/>
                <w:kern w:val="0"/>
                <w:sz w:val="20"/>
                <w:szCs w:val="20"/>
              </w:rPr>
            </w:pPr>
          </w:p>
        </w:tc>
        <w:tc>
          <w:tcPr>
            <w:tcW w:w="498"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36</w:t>
            </w:r>
          </w:p>
        </w:tc>
        <w:tc>
          <w:tcPr>
            <w:tcW w:w="553" w:type="dxa"/>
            <w:noWrap w:val="0"/>
            <w:vAlign w:val="center"/>
          </w:tcPr>
          <w:p>
            <w:pPr>
              <w:spacing w:line="700" w:lineRule="exact"/>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36</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sz w:val="20"/>
                <w:szCs w:val="20"/>
              </w:rPr>
            </w:pPr>
            <w:r>
              <w:rPr>
                <w:rFonts w:hint="eastAsia"/>
                <w:sz w:val="20"/>
                <w:szCs w:val="20"/>
              </w:rPr>
              <w:t>专项业务支出</w:t>
            </w:r>
          </w:p>
          <w:p>
            <w:pPr>
              <w:spacing w:line="700" w:lineRule="exact"/>
              <w:jc w:val="center"/>
              <w:rPr>
                <w:rFonts w:ascii="Calibri" w:hAnsi="Calibri" w:eastAsia="楷体"/>
                <w:kern w:val="0"/>
                <w:sz w:val="20"/>
                <w:szCs w:val="20"/>
              </w:rPr>
            </w:pPr>
          </w:p>
        </w:tc>
        <w:tc>
          <w:tcPr>
            <w:tcW w:w="1063" w:type="dxa"/>
            <w:noWrap w:val="0"/>
            <w:vAlign w:val="center"/>
          </w:tcPr>
          <w:p>
            <w:pPr>
              <w:rPr>
                <w:sz w:val="20"/>
                <w:szCs w:val="20"/>
              </w:rPr>
            </w:pPr>
            <w:r>
              <w:rPr>
                <w:rFonts w:hint="eastAsia"/>
                <w:sz w:val="20"/>
                <w:szCs w:val="20"/>
              </w:rPr>
              <w:t>信访局2024年辅助岗位人员工资</w:t>
            </w:r>
          </w:p>
          <w:p>
            <w:pPr>
              <w:spacing w:line="700" w:lineRule="exact"/>
              <w:jc w:val="center"/>
              <w:rPr>
                <w:rFonts w:ascii="Calibri" w:hAnsi="Calibri" w:eastAsia="楷体"/>
                <w:kern w:val="0"/>
                <w:sz w:val="20"/>
                <w:szCs w:val="20"/>
              </w:rPr>
            </w:pPr>
          </w:p>
        </w:tc>
        <w:tc>
          <w:tcPr>
            <w:tcW w:w="1107" w:type="dxa"/>
            <w:noWrap w:val="0"/>
            <w:vAlign w:val="center"/>
          </w:tcPr>
          <w:p>
            <w:pPr>
              <w:rPr>
                <w:sz w:val="20"/>
                <w:szCs w:val="20"/>
              </w:rPr>
            </w:pPr>
            <w:r>
              <w:rPr>
                <w:rFonts w:hint="eastAsia"/>
                <w:sz w:val="20"/>
                <w:szCs w:val="20"/>
              </w:rPr>
              <w:t>信访局2024年辅助岗位人员工资</w:t>
            </w:r>
          </w:p>
          <w:p>
            <w:pPr>
              <w:spacing w:line="700" w:lineRule="exact"/>
              <w:jc w:val="center"/>
              <w:rPr>
                <w:rFonts w:ascii="Calibri" w:hAnsi="Calibri" w:eastAsia="楷体" w:cs="Times New Roman"/>
                <w:kern w:val="0"/>
                <w:sz w:val="20"/>
                <w:szCs w:val="20"/>
                <w:lang w:val="en-US" w:eastAsia="zh-CN" w:bidi="ar-SA"/>
              </w:rPr>
            </w:pPr>
          </w:p>
        </w:tc>
        <w:tc>
          <w:tcPr>
            <w:tcW w:w="864" w:type="dxa"/>
            <w:noWrap w:val="0"/>
            <w:vAlign w:val="center"/>
          </w:tcPr>
          <w:p>
            <w:pPr>
              <w:rPr>
                <w:sz w:val="20"/>
                <w:szCs w:val="20"/>
              </w:rPr>
            </w:pPr>
            <w:r>
              <w:rPr>
                <w:rFonts w:hint="eastAsia"/>
                <w:sz w:val="20"/>
                <w:szCs w:val="20"/>
              </w:rPr>
              <w:t>中共通榆县委通榆县人民政府信访局</w:t>
            </w:r>
          </w:p>
          <w:p>
            <w:pPr>
              <w:spacing w:line="700" w:lineRule="exact"/>
              <w:jc w:val="center"/>
              <w:rPr>
                <w:rFonts w:ascii="Calibri" w:hAnsi="Calibri" w:eastAsia="楷体"/>
                <w:kern w:val="0"/>
                <w:sz w:val="20"/>
                <w:szCs w:val="20"/>
              </w:rPr>
            </w:pPr>
          </w:p>
        </w:tc>
        <w:tc>
          <w:tcPr>
            <w:tcW w:w="498" w:type="dxa"/>
            <w:noWrap w:val="0"/>
            <w:vAlign w:val="center"/>
          </w:tcPr>
          <w:p>
            <w:pPr>
              <w:rPr>
                <w:rFonts w:hint="default" w:ascii="Calibri" w:hAnsi="Calibri" w:eastAsia="楷体"/>
                <w:kern w:val="0"/>
                <w:sz w:val="20"/>
                <w:szCs w:val="20"/>
                <w:lang w:val="en-US" w:eastAsia="zh-CN"/>
              </w:rPr>
            </w:pPr>
            <w:r>
              <w:rPr>
                <w:rFonts w:hint="eastAsia"/>
                <w:sz w:val="20"/>
                <w:szCs w:val="20"/>
              </w:rPr>
              <w:t>26.65</w:t>
            </w:r>
          </w:p>
        </w:tc>
        <w:tc>
          <w:tcPr>
            <w:tcW w:w="553" w:type="dxa"/>
            <w:noWrap w:val="0"/>
            <w:vAlign w:val="center"/>
          </w:tcPr>
          <w:p>
            <w:pPr>
              <w:rPr>
                <w:rFonts w:hint="default" w:ascii="Calibri" w:hAnsi="Calibri" w:eastAsia="楷体" w:cs="Times New Roman"/>
                <w:kern w:val="0"/>
                <w:sz w:val="20"/>
                <w:szCs w:val="20"/>
                <w:lang w:val="en-US" w:eastAsia="zh-CN" w:bidi="ar-SA"/>
              </w:rPr>
            </w:pPr>
            <w:r>
              <w:rPr>
                <w:rFonts w:hint="eastAsia"/>
                <w:sz w:val="20"/>
                <w:szCs w:val="20"/>
              </w:rPr>
              <w:t>26.65</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sz w:val="20"/>
                <w:szCs w:val="20"/>
              </w:rPr>
            </w:pPr>
            <w:r>
              <w:rPr>
                <w:rFonts w:hint="eastAsia"/>
                <w:sz w:val="20"/>
                <w:szCs w:val="20"/>
              </w:rPr>
              <w:t>专项业务支出</w:t>
            </w:r>
          </w:p>
          <w:p>
            <w:pPr>
              <w:spacing w:line="700" w:lineRule="exact"/>
              <w:jc w:val="center"/>
              <w:rPr>
                <w:rFonts w:ascii="Calibri" w:hAnsi="Calibri" w:eastAsia="楷体"/>
                <w:kern w:val="0"/>
                <w:sz w:val="20"/>
                <w:szCs w:val="20"/>
              </w:rPr>
            </w:pPr>
          </w:p>
        </w:tc>
        <w:tc>
          <w:tcPr>
            <w:tcW w:w="1063" w:type="dxa"/>
            <w:noWrap w:val="0"/>
            <w:vAlign w:val="center"/>
          </w:tcPr>
          <w:p>
            <w:pPr>
              <w:rPr>
                <w:sz w:val="20"/>
                <w:szCs w:val="20"/>
              </w:rPr>
            </w:pPr>
            <w:r>
              <w:rPr>
                <w:rFonts w:hint="eastAsia"/>
                <w:sz w:val="20"/>
                <w:szCs w:val="20"/>
              </w:rPr>
              <w:t>信访局2024年驻村工作队生活补贴</w:t>
            </w:r>
          </w:p>
          <w:p>
            <w:pPr>
              <w:spacing w:line="700" w:lineRule="exact"/>
              <w:jc w:val="center"/>
              <w:rPr>
                <w:rFonts w:ascii="Calibri" w:hAnsi="Calibri" w:eastAsia="楷体"/>
                <w:kern w:val="0"/>
                <w:sz w:val="20"/>
                <w:szCs w:val="20"/>
              </w:rPr>
            </w:pPr>
          </w:p>
        </w:tc>
        <w:tc>
          <w:tcPr>
            <w:tcW w:w="1107" w:type="dxa"/>
            <w:noWrap w:val="0"/>
            <w:vAlign w:val="center"/>
          </w:tcPr>
          <w:p>
            <w:pPr>
              <w:rPr>
                <w:sz w:val="20"/>
                <w:szCs w:val="20"/>
              </w:rPr>
            </w:pPr>
            <w:r>
              <w:rPr>
                <w:rFonts w:hint="eastAsia"/>
                <w:sz w:val="20"/>
                <w:szCs w:val="20"/>
              </w:rPr>
              <w:t>信访局2024年驻村工作队生活补贴</w:t>
            </w:r>
          </w:p>
          <w:p>
            <w:pPr>
              <w:spacing w:line="700" w:lineRule="exact"/>
              <w:jc w:val="center"/>
              <w:rPr>
                <w:rFonts w:ascii="Calibri" w:hAnsi="Calibri" w:eastAsia="楷体" w:cs="Times New Roman"/>
                <w:kern w:val="0"/>
                <w:sz w:val="20"/>
                <w:szCs w:val="20"/>
                <w:lang w:val="en-US" w:eastAsia="zh-CN" w:bidi="ar-SA"/>
              </w:rPr>
            </w:pPr>
          </w:p>
        </w:tc>
        <w:tc>
          <w:tcPr>
            <w:tcW w:w="864" w:type="dxa"/>
            <w:noWrap w:val="0"/>
            <w:vAlign w:val="center"/>
          </w:tcPr>
          <w:p>
            <w:pPr>
              <w:rPr>
                <w:sz w:val="20"/>
                <w:szCs w:val="20"/>
              </w:rPr>
            </w:pPr>
            <w:r>
              <w:rPr>
                <w:rFonts w:hint="eastAsia"/>
                <w:sz w:val="20"/>
                <w:szCs w:val="20"/>
              </w:rPr>
              <w:t>中共通榆县委通榆县人民政府信访局</w:t>
            </w:r>
          </w:p>
          <w:p>
            <w:pPr>
              <w:spacing w:line="700" w:lineRule="exact"/>
              <w:jc w:val="center"/>
              <w:rPr>
                <w:rFonts w:ascii="Calibri" w:hAnsi="Calibri" w:eastAsia="楷体"/>
                <w:kern w:val="0"/>
                <w:sz w:val="20"/>
                <w:szCs w:val="20"/>
              </w:rPr>
            </w:pPr>
          </w:p>
        </w:tc>
        <w:tc>
          <w:tcPr>
            <w:tcW w:w="498" w:type="dxa"/>
            <w:noWrap w:val="0"/>
            <w:vAlign w:val="center"/>
          </w:tcPr>
          <w:p>
            <w:pP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10.8</w:t>
            </w:r>
          </w:p>
        </w:tc>
        <w:tc>
          <w:tcPr>
            <w:tcW w:w="553" w:type="dxa"/>
            <w:noWrap w:val="0"/>
            <w:vAlign w:val="center"/>
          </w:tcPr>
          <w:p>
            <w:pP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10.8</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0"/>
              </w:rPr>
            </w:pPr>
            <w:r>
              <w:rPr>
                <w:rFonts w:hint="eastAsia" w:ascii="Calibri" w:hAnsi="Calibri" w:eastAsia="华文细黑"/>
                <w:color w:val="000000"/>
                <w:sz w:val="20"/>
                <w:szCs w:val="20"/>
              </w:rPr>
              <w:t>合计</w:t>
            </w:r>
          </w:p>
        </w:tc>
        <w:tc>
          <w:tcPr>
            <w:tcW w:w="1063" w:type="dxa"/>
            <w:noWrap w:val="0"/>
            <w:vAlign w:val="center"/>
          </w:tcPr>
          <w:p>
            <w:pPr>
              <w:autoSpaceDN w:val="0"/>
              <w:jc w:val="center"/>
              <w:textAlignment w:val="center"/>
              <w:rPr>
                <w:rFonts w:ascii="Calibri" w:hAnsi="Calibri" w:eastAsia="华文细黑"/>
                <w:color w:val="000000"/>
                <w:sz w:val="20"/>
                <w:szCs w:val="20"/>
              </w:rPr>
            </w:pPr>
          </w:p>
        </w:tc>
        <w:tc>
          <w:tcPr>
            <w:tcW w:w="1107" w:type="dxa"/>
            <w:noWrap w:val="0"/>
            <w:vAlign w:val="center"/>
          </w:tcPr>
          <w:p>
            <w:pPr>
              <w:spacing w:line="700" w:lineRule="exact"/>
              <w:jc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 w:val="20"/>
                <w:szCs w:val="20"/>
              </w:rPr>
            </w:pPr>
          </w:p>
        </w:tc>
        <w:tc>
          <w:tcPr>
            <w:tcW w:w="498" w:type="dxa"/>
            <w:noWrap w:val="0"/>
            <w:vAlign w:val="center"/>
          </w:tcPr>
          <w:p>
            <w:pP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73.45</w:t>
            </w:r>
          </w:p>
        </w:tc>
        <w:tc>
          <w:tcPr>
            <w:tcW w:w="553" w:type="dxa"/>
            <w:noWrap w:val="0"/>
            <w:vAlign w:val="center"/>
          </w:tcPr>
          <w:p>
            <w:pP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73.45</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信访局2024年</w:t>
            </w:r>
            <w:r>
              <w:rPr>
                <w:rFonts w:hint="eastAsia" w:ascii="宋体" w:hAnsi="宋体" w:eastAsia="宋体" w:cs="宋体"/>
                <w:color w:val="000000"/>
                <w:sz w:val="20"/>
                <w:lang w:eastAsia="zh-CN"/>
              </w:rPr>
              <w:t>信访工作经费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lang w:eastAsia="zh-CN"/>
              </w:rPr>
            </w:pPr>
          </w:p>
          <w:p>
            <w:pPr>
              <w:autoSpaceDN w:val="0"/>
              <w:ind w:firstLine="400" w:firstLineChars="20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申请资金</w:t>
            </w:r>
            <w:r>
              <w:rPr>
                <w:rFonts w:hint="eastAsia" w:ascii="宋体" w:hAnsi="宋体" w:eastAsia="宋体" w:cs="宋体"/>
                <w:color w:val="000000"/>
                <w:sz w:val="20"/>
                <w:lang w:val="en-US" w:eastAsia="zh-CN"/>
              </w:rPr>
              <w:t>36万元，用于办公费、驻京经费、京省市维稳差旅费。</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信访维稳次数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20次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信访维稳单次成本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≤5000元/次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突发事件处置及时率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社会经济稳定增长率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信访环境改善率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bookmarkStart w:id="0" w:name="_GoBack"/>
      <w:bookmarkEnd w:id="0"/>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信访局2024年辅助岗位人员工资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2024年信访局有辅助岗人员7名，工资按月发放，全年工资266507元。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辅助岗人员经费支出成本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4000元/人/月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辅助岗经费支出及时率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信访局2024年驻村工作队生活补贴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lang w:eastAsia="zh-CN"/>
              </w:rPr>
            </w:pPr>
          </w:p>
          <w:p>
            <w:pPr>
              <w:autoSpaceDN w:val="0"/>
              <w:ind w:firstLine="400" w:firstLineChars="2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3名驻村队员，每人每天补助100元，1-12月共计1080天，补助108000元。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乡村振兴建设效果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≥97%</w:t>
            </w:r>
          </w:p>
        </w:tc>
      </w:tr>
    </w:tbl>
    <w:p>
      <w:pPr>
        <w:spacing w:line="700" w:lineRule="exact"/>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209.59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47.42</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增加项目支出</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136.14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178.35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15.91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5.7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209.59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178.35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120.12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16.02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178.35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发放工资</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15.91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基本养老保险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卫生健康支出</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医疗保险</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104.9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88.88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16.02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本部门无政府采购情况。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年，部门本级和所属各预算单位共有房屋</w:t>
      </w:r>
      <w:r>
        <w:rPr>
          <w:rFonts w:hint="eastAsia" w:ascii="仿宋_GB2312" w:hAnsi="仿宋_GB2312" w:cs="仿宋_GB2312"/>
          <w:szCs w:val="32"/>
          <w:lang w:val="en-US" w:eastAsia="zh-CN"/>
        </w:rPr>
        <w:t>758.59</w:t>
      </w:r>
      <w:r>
        <w:rPr>
          <w:rFonts w:hint="eastAsia" w:ascii="仿宋_GB2312" w:hAnsi="仿宋_GB2312" w:eastAsia="仿宋_GB2312" w:cs="仿宋_GB2312"/>
          <w:szCs w:val="32"/>
        </w:rPr>
        <w:t>平方米。</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73.45</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73.45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73.45</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44141B"/>
    <w:rsid w:val="04720B0D"/>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92234E8"/>
    <w:rsid w:val="1A0C4FEA"/>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BAD704D"/>
    <w:rsid w:val="2D1A2171"/>
    <w:rsid w:val="2D6E1CFC"/>
    <w:rsid w:val="2DF8796C"/>
    <w:rsid w:val="2EB22F18"/>
    <w:rsid w:val="2EE12108"/>
    <w:rsid w:val="2EED35E3"/>
    <w:rsid w:val="2F250383"/>
    <w:rsid w:val="2F63610B"/>
    <w:rsid w:val="300965A3"/>
    <w:rsid w:val="30730D6E"/>
    <w:rsid w:val="30B91A70"/>
    <w:rsid w:val="32CF2C5D"/>
    <w:rsid w:val="335402B5"/>
    <w:rsid w:val="339466B2"/>
    <w:rsid w:val="34555AF5"/>
    <w:rsid w:val="34DF78D8"/>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A6458D"/>
    <w:rsid w:val="3EE44F88"/>
    <w:rsid w:val="3EE8108D"/>
    <w:rsid w:val="405745EF"/>
    <w:rsid w:val="40B80EFF"/>
    <w:rsid w:val="41A35364"/>
    <w:rsid w:val="41C31686"/>
    <w:rsid w:val="42982B4E"/>
    <w:rsid w:val="431E7646"/>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4F9C310D"/>
    <w:rsid w:val="501B3C66"/>
    <w:rsid w:val="504B40C5"/>
    <w:rsid w:val="50987DC2"/>
    <w:rsid w:val="50A4703E"/>
    <w:rsid w:val="5136104F"/>
    <w:rsid w:val="51E55C99"/>
    <w:rsid w:val="52071113"/>
    <w:rsid w:val="52447C09"/>
    <w:rsid w:val="525A440D"/>
    <w:rsid w:val="54741940"/>
    <w:rsid w:val="54810E66"/>
    <w:rsid w:val="54C2556E"/>
    <w:rsid w:val="55480EEF"/>
    <w:rsid w:val="56570E30"/>
    <w:rsid w:val="56CB31E9"/>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A65979"/>
    <w:rsid w:val="5CFD5FB2"/>
    <w:rsid w:val="5D2B52D8"/>
    <w:rsid w:val="5D5A7C63"/>
    <w:rsid w:val="5E256F6F"/>
    <w:rsid w:val="5F6235A9"/>
    <w:rsid w:val="614125C2"/>
    <w:rsid w:val="624C5C52"/>
    <w:rsid w:val="63952BB5"/>
    <w:rsid w:val="63DF08E4"/>
    <w:rsid w:val="64127E15"/>
    <w:rsid w:val="64C04AFD"/>
    <w:rsid w:val="6503205E"/>
    <w:rsid w:val="657656E8"/>
    <w:rsid w:val="661A7B69"/>
    <w:rsid w:val="664909C1"/>
    <w:rsid w:val="66C63EB5"/>
    <w:rsid w:val="677772D0"/>
    <w:rsid w:val="679461D3"/>
    <w:rsid w:val="6858287E"/>
    <w:rsid w:val="69157114"/>
    <w:rsid w:val="691A443E"/>
    <w:rsid w:val="6A80735F"/>
    <w:rsid w:val="6ACC5E47"/>
    <w:rsid w:val="6AD43ED1"/>
    <w:rsid w:val="6B11024D"/>
    <w:rsid w:val="6B7D5B36"/>
    <w:rsid w:val="6CF120A8"/>
    <w:rsid w:val="6E44322C"/>
    <w:rsid w:val="700D0F33"/>
    <w:rsid w:val="714213DD"/>
    <w:rsid w:val="717F272E"/>
    <w:rsid w:val="728027C6"/>
    <w:rsid w:val="72D54D7C"/>
    <w:rsid w:val="737664E0"/>
    <w:rsid w:val="73776860"/>
    <w:rsid w:val="73FE7ACC"/>
    <w:rsid w:val="74053F35"/>
    <w:rsid w:val="74556746"/>
    <w:rsid w:val="74AB7A24"/>
    <w:rsid w:val="76BB79B1"/>
    <w:rsid w:val="76C17E06"/>
    <w:rsid w:val="76CA67BD"/>
    <w:rsid w:val="774E6400"/>
    <w:rsid w:val="775B0046"/>
    <w:rsid w:val="78796248"/>
    <w:rsid w:val="78E940C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7065</Words>
  <Characters>8006</Characters>
  <Lines>71</Lines>
  <Paragraphs>20</Paragraphs>
  <TotalTime>5</TotalTime>
  <ScaleCrop>false</ScaleCrop>
  <LinksUpToDate>false</LinksUpToDate>
  <CharactersWithSpaces>8570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2024-01-25T01:25:00Z</cp:lastPrinted>
  <dcterms:modified xsi:type="dcterms:W3CDTF">2024-01-25T03:02:14Z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A8223DB1A52A42E08A9B660026B0BF2E_13</vt:lpwstr>
  </property>
</Properties>
</file>